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5B28C2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6B85566E" w:rsidR="005B28C2" w:rsidRPr="00B97544" w:rsidRDefault="009E66AA" w:rsidP="005B28C2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كتاب قديم </w:t>
            </w:r>
            <w:r w:rsidR="005B28C2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B28C2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57439E56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54</w:t>
            </w:r>
            <w:r w:rsidR="009E66AA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عرب</w:t>
            </w:r>
          </w:p>
        </w:tc>
      </w:tr>
      <w:tr w:rsidR="005B28C2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AE8F1B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5B28C2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178F6502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5B28C2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5B28C2" w:rsidRPr="00B97544" w:rsidRDefault="005B28C2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556B1318" w:rsidR="005B28C2" w:rsidRPr="00B97544" w:rsidRDefault="00115ABE" w:rsidP="005B28C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7602B4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7602B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7602B4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24A85722" w:rsidR="00390016" w:rsidRPr="00192987" w:rsidRDefault="00224A04" w:rsidP="00291BF1">
            <w:pPr>
              <w:bidi/>
              <w:jc w:val="both"/>
              <w:rPr>
                <w:rtl/>
              </w:rPr>
            </w:pPr>
            <w:r w:rsidRPr="00224A0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5B28C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D2AAD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يتناول هذا المقرر</w:t>
            </w:r>
            <w:r w:rsidR="009E66A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62CF5"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كتابا قديما</w:t>
            </w:r>
            <w:r w:rsid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النحو أو الصرف أو في المعجم أو في الأصوات: </w:t>
            </w:r>
            <w:r w:rsidR="00291BF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مؤلفه وعصره وشيوخه وقيمته العلمية في عصره وبعد عصره: </w:t>
            </w:r>
            <w:r w:rsid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 الكتاب ومحتوياته ومصطلحاته</w:t>
            </w:r>
            <w:r w:rsidR="00262CF5"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ومنهج المؤلف ومرجعيات الكتاب وأبرز القضايا التي ناقشها الكتاب، وأثر الكتاب في الدرس اللغوي، وأثره في كتابات المؤلفين اللاحقين</w:t>
            </w:r>
            <w:r w:rsid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إضافة إلى قراءات متنوعة في موضوعات مختارة فيه.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3E7CDE96" w:rsidR="00390016" w:rsidRPr="005D2DDD" w:rsidRDefault="005B28C2" w:rsidP="00B31207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5B28C2">
              <w:rPr>
                <w:rFonts w:ascii="Sakkal Majalla" w:hAnsi="Sakkal Majalla" w:cs="Sakkal Majalla"/>
                <w:sz w:val="32"/>
                <w:szCs w:val="32"/>
                <w:rtl/>
              </w:rPr>
              <w:t>يهدف هذا المقرر إلى</w:t>
            </w:r>
            <w:r w:rsidR="009E66AA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91BF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 بالكتاب وقيمته العلمية،</w:t>
            </w:r>
            <w:r w:rsidR="00291BF1"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وأثر</w:t>
            </w:r>
            <w:r w:rsidR="00B02513">
              <w:rPr>
                <w:rFonts w:ascii="Sakkal Majalla" w:hAnsi="Sakkal Majalla" w:cs="Sakkal Majalla" w:hint="cs"/>
                <w:sz w:val="32"/>
                <w:szCs w:val="32"/>
                <w:rtl/>
              </w:rPr>
              <w:t>ه</w:t>
            </w:r>
            <w:r w:rsidR="00291BF1"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الدرس اللغوي، وأثره في كتابات المؤلفين اللاحقين</w:t>
            </w:r>
            <w:r w:rsidR="00B02513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8521DBB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6069FC78" w:rsidR="00AA0CAE" w:rsidRPr="00E02FB7" w:rsidRDefault="00AA0CAE" w:rsidP="00AA0CA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F07FB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CF07FB" w:rsidRPr="00B4292A" w:rsidRDefault="00CF07FB" w:rsidP="00CF07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B6F354F" w:rsidR="00CF07FB" w:rsidRPr="00D923DC" w:rsidRDefault="00F4576A" w:rsidP="00CF07F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يصف </w:t>
            </w:r>
            <w:r w:rsidR="003E25B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الكتاب </w:t>
            </w:r>
            <w:r w:rsidR="00AA0CA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القديم المختار </w:t>
            </w:r>
            <w:r w:rsidR="003E25B0">
              <w:rPr>
                <w:rFonts w:ascii="Sakkal Majalla" w:hAnsi="Sakkal Majalla" w:cs="Sakkal Majalla" w:hint="cs"/>
                <w:sz w:val="32"/>
                <w:szCs w:val="32"/>
                <w:rtl/>
              </w:rPr>
              <w:t>شكلا ومضونا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2E74AB83" w:rsidR="00CF07FB" w:rsidRPr="00B4292A" w:rsidRDefault="00CF07FB" w:rsidP="00CF07F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CF07FB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CF07FB" w:rsidRPr="00B4292A" w:rsidRDefault="00CF07FB" w:rsidP="00CF07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5381FF70" w:rsidR="00CF07FB" w:rsidRPr="00D923DC" w:rsidRDefault="00CF07FB" w:rsidP="00CF07F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يذكر </w:t>
            </w:r>
            <w:r w:rsidR="009E66AA" w:rsidRPr="009E66A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المفاهيم والمصطلحات </w:t>
            </w:r>
            <w:r w:rsidR="003E25B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الواردة في الكتاب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4CE497A8" w:rsidR="00CF07FB" w:rsidRPr="00B4292A" w:rsidRDefault="00CF07FB" w:rsidP="00CF07F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CF07FB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CF07FB" w:rsidRPr="00B4292A" w:rsidRDefault="00CF07FB" w:rsidP="00CF07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1E509714" w:rsidR="00CF07FB" w:rsidRPr="00D923DC" w:rsidRDefault="003E25B0" w:rsidP="00CF07F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محتويات الكتاب 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ومنهج المؤلف ومرجعيات الكتاب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310F17D9" w:rsidR="00CF07FB" w:rsidRPr="00B4292A" w:rsidRDefault="00CF07FB" w:rsidP="00CF07F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3E25B0" w:rsidRPr="005D2DDD" w14:paraId="582F79AF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45E7287" w14:textId="0B5D47D8" w:rsidR="003E25B0" w:rsidRPr="00B4292A" w:rsidRDefault="003E25B0" w:rsidP="00CF07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5C4C9B" w14:textId="7C942DAC" w:rsidR="003E25B0" w:rsidRDefault="003E25B0" w:rsidP="00CF07F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يذكر 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أبرز القضايا التي ناقشها الكتاب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F3AC8E" w14:textId="71518C26" w:rsidR="003E25B0" w:rsidRDefault="003E25B0" w:rsidP="00CF07F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3E25B0" w:rsidRPr="005D2DDD" w14:paraId="753B2916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9D1747C" w14:textId="6AB394FF" w:rsidR="003E25B0" w:rsidRPr="00B4292A" w:rsidRDefault="003E25B0" w:rsidP="00CF07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36E7151" w14:textId="600E0462" w:rsidR="003E25B0" w:rsidRDefault="003E25B0" w:rsidP="00CF07F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أثر الكتاب في كتابات اللاحقين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E1A12" w14:textId="1903C078" w:rsidR="003E25B0" w:rsidRDefault="003E25B0" w:rsidP="00CF07F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039BB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39BCF311" w:rsidR="008039BB" w:rsidRPr="00D923DC" w:rsidRDefault="00AA0CAE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الكتاب تحليلا في الشكل والمضمون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BD3B023" w:rsidR="008039BB" w:rsidRPr="00B4292A" w:rsidRDefault="008039BB" w:rsidP="00091ED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 w:rsidR="005B28C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8039BB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0F9EA48E" w:rsidR="008039BB" w:rsidRPr="00D923DC" w:rsidRDefault="00AA0CAE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قرارات متخصصة في بعض موضوعات الكتاب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C09092A" w:rsidR="008039BB" w:rsidRPr="00B4292A" w:rsidRDefault="008039BB" w:rsidP="00091ED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 w:rsidR="005B28C2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8039BB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E50CA4C" w:rsidR="008039BB" w:rsidRPr="00D923DC" w:rsidRDefault="00CF07F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 w:rsidR="00AA0CAE"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مرجعيات الكتاب القديم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319DBBA2" w:rsidR="008039BB" w:rsidRPr="00B4292A" w:rsidRDefault="008039BB" w:rsidP="00091ED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 w:rsidR="00705DB8">
              <w:rPr>
                <w:rFonts w:asciiTheme="majorBidi" w:hAnsiTheme="majorBidi" w:cstheme="majorBidi" w:hint="cs"/>
                <w:rtl/>
              </w:rPr>
              <w:t>5</w:t>
            </w:r>
          </w:p>
        </w:tc>
      </w:tr>
      <w:tr w:rsidR="00AA0CAE" w:rsidRPr="005D2DDD" w14:paraId="1B600AF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E956E0" w14:textId="293BA17E" w:rsidR="00AA0CAE" w:rsidRPr="00B4292A" w:rsidRDefault="002A6226" w:rsidP="008039B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4-2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BB6BD25" w14:textId="20540ED9" w:rsidR="00AA0CAE" w:rsidRPr="00CF07FB" w:rsidRDefault="00AA0CAE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يوازن بين </w:t>
            </w:r>
            <w:r w:rsidR="002A6226">
              <w:rPr>
                <w:rFonts w:ascii="Sakkal Majalla" w:hAnsi="Sakkal Majalla" w:cs="Sakkal Majalla" w:hint="cs"/>
                <w:sz w:val="32"/>
                <w:szCs w:val="32"/>
                <w:rtl/>
              </w:rPr>
              <w:t>آراء العلماء والنقاد في الكتاب القديم ويقدم نقدًا لها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831241" w14:textId="18C76C30" w:rsidR="00AA0CAE" w:rsidRPr="006C3401" w:rsidRDefault="002A6226" w:rsidP="00091ED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2-3</w:t>
            </w:r>
          </w:p>
        </w:tc>
      </w:tr>
      <w:tr w:rsidR="002A6226" w:rsidRPr="005D2DDD" w14:paraId="4631746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C2D725" w14:textId="50C10A57" w:rsidR="002A6226" w:rsidRDefault="002A6226" w:rsidP="008039B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5-2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C483BB" w14:textId="61B36A35" w:rsidR="002A6226" w:rsidRDefault="002A6226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 بحثا متخصصا في جزئية مختارة في الكتاب أو في موضوع من موضوعاته أو في منهجيته أو أثره في كتابات اللاحقين أو في الدرس اللغوي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FE55E1" w14:textId="7C499BC2" w:rsidR="002A6226" w:rsidRDefault="002A6226" w:rsidP="00091ED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2-2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08356CF8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 w:rsidR="002A6226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عندما يدير حوار لغوية في الكتاب القديم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50407AD1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</w:t>
            </w:r>
            <w:r w:rsidR="00606957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بحثية</w:t>
            </w:r>
            <w:r w:rsidR="00606957">
              <w:rPr>
                <w:rFonts w:hint="cs"/>
                <w:rtl/>
              </w:rPr>
              <w:t xml:space="preserve"> </w:t>
            </w:r>
            <w:r w:rsidR="00606957">
              <w:rPr>
                <w:rFonts w:ascii="Sakkal Majalla" w:hAnsi="Sakkal Majalla" w:cs="Sakkal Majalla" w:hint="cs"/>
                <w:sz w:val="32"/>
                <w:szCs w:val="32"/>
                <w:rtl/>
              </w:rPr>
              <w:t>أو</w:t>
            </w:r>
            <w:r w:rsidR="002A622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تلخيصا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أقرانه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 w:rsidR="002876C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20D80658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 w:rsidR="002A622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التي يتناولها الكتاب القديم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0D29C4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0D29C4" w:rsidRPr="006A374B" w:rsidRDefault="000D29C4" w:rsidP="000D29C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285F2D49" w:rsidR="000D29C4" w:rsidRPr="00D923DC" w:rsidRDefault="002A6226" w:rsidP="000D29C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التعريف بالكتاب: مكانته في الدرس اللغوي وقيمته العلمية وعصره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370DE499" w:rsidR="000D29C4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2A6226" w:rsidRPr="005D2DDD" w14:paraId="4F76ABDB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C596E8" w14:textId="053D6A55" w:rsidR="002A6226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3B03B3" w14:textId="7BBAC8D7" w:rsidR="002A6226" w:rsidRDefault="002A6226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 بالمؤلف: حياته وتعليمه وشيوخه ومؤلفاته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098D17" w14:textId="097B4168" w:rsidR="002A6226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A6226" w:rsidRPr="005D2DDD" w14:paraId="7639A9C9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C285C" w14:textId="2024E52B" w:rsidR="002A6226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6453B5E" w14:textId="6584C80B" w:rsidR="002A6226" w:rsidRDefault="00291BF1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عنوان الكتاب ومحتوياته ومصطلحاته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037F5B" w14:textId="5888FB3C" w:rsidR="002A6226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91BF1" w:rsidRPr="005D2DDD" w14:paraId="1A1E0905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85AAE" w14:textId="4278757E" w:rsidR="00291BF1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1BC809" w14:textId="2B8E361A" w:rsidR="00291BF1" w:rsidRDefault="00291BF1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منهج المؤلف ومرجعيات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D5E0CE" w14:textId="1A1B1F71" w:rsidR="00291BF1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91BF1" w:rsidRPr="005D2DDD" w14:paraId="6EE978B7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C5CD1F" w14:textId="22403892" w:rsidR="00291BF1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5AE96B" w14:textId="45D351F4" w:rsidR="00291BF1" w:rsidRDefault="00291BF1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أبرز القضايا التي ناقشها الكتاب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B96878" w14:textId="1D91E215" w:rsidR="00291BF1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91BF1" w:rsidRPr="005D2DDD" w14:paraId="2274741F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9AD521" w14:textId="14C6EBB2" w:rsidR="00291BF1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EF44F5" w14:textId="57AF5FA7" w:rsidR="00291BF1" w:rsidRPr="00262CF5" w:rsidRDefault="00291BF1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أثر الكتاب في الدرس اللغوي،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35290B" w14:textId="009B03AB" w:rsidR="00291BF1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91BF1" w:rsidRPr="005D2DDD" w14:paraId="3AC1AD6E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1B26D8" w14:textId="2E4CB70D" w:rsidR="00291BF1" w:rsidRPr="006A374B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AE1C90" w14:textId="3E550121" w:rsidR="00291BF1" w:rsidRPr="00262CF5" w:rsidRDefault="00291BF1" w:rsidP="000D29C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أثر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الكتاب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كتابات المؤلفين اللاحقين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A8FF7" w14:textId="55E867E6" w:rsidR="00291BF1" w:rsidRDefault="00291BF1" w:rsidP="000D29C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0D29C4" w:rsidRPr="005D2DDD" w14:paraId="72942E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235B87F3" w:rsidR="000D29C4" w:rsidRPr="00DE07AD" w:rsidRDefault="00291BF1" w:rsidP="000D29C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5E192215" w:rsidR="000D29C4" w:rsidRPr="00D923DC" w:rsidRDefault="002A6226" w:rsidP="000D29C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قراءات متنوعة في موضوعات مختارة فيه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63435B67" w:rsidR="000D29C4" w:rsidRPr="00DE07AD" w:rsidRDefault="00291BF1" w:rsidP="000D29C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390016" w:rsidRPr="005D2DDD" w:rsidRDefault="00C47F1B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11"/>
        <w:gridCol w:w="2923"/>
        <w:gridCol w:w="2284"/>
      </w:tblGrid>
      <w:tr w:rsidR="00390016" w:rsidRPr="005D2DDD" w14:paraId="24BE06BC" w14:textId="77777777" w:rsidTr="002A6226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51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9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C33C6B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6EF1B394" w:rsidR="002A6226" w:rsidRPr="005D2DDD" w:rsidRDefault="002A6226" w:rsidP="002A62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2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أن يكون الطالب قادرا على أن</w:t>
            </w:r>
          </w:p>
        </w:tc>
      </w:tr>
      <w:tr w:rsidR="002A6226" w:rsidRPr="005D2DDD" w14:paraId="46F2B63E" w14:textId="77777777" w:rsidTr="002A6226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511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05D6B28D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يصف الكتاب القديم المختار شكلا ومضونا</w:t>
            </w:r>
          </w:p>
        </w:tc>
        <w:tc>
          <w:tcPr>
            <w:tcW w:w="2923" w:type="dxa"/>
            <w:tcBorders>
              <w:top w:val="single" w:sz="4" w:space="0" w:color="auto"/>
              <w:bottom w:val="dashSmallGap" w:sz="4" w:space="0" w:color="auto"/>
            </w:tcBorders>
          </w:tcPr>
          <w:p w14:paraId="7559FC04" w14:textId="77777777" w:rsidR="002A6226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رة</w:t>
            </w:r>
          </w:p>
          <w:p w14:paraId="0262E842" w14:textId="18261694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2A6226" w:rsidRPr="005D2DDD" w14:paraId="213EFB53" w14:textId="77777777" w:rsidTr="002A622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5F2D9E7C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يذكر </w:t>
            </w:r>
            <w:r w:rsidRPr="009E66A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المفاهيم والمصطلحات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الواردة في الكتاب. </w:t>
            </w:r>
          </w:p>
        </w:tc>
        <w:tc>
          <w:tcPr>
            <w:tcW w:w="29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57BBEEAF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257495E3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A6226" w:rsidRPr="005D2DDD" w14:paraId="02EAC0FA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6CD49E12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يبين محتويات الكتاب 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ومنهج المؤلف ومرجعيات الكتاب 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6A5042" w14:textId="77777777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CF07FB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3395C0DB" w14:textId="77777777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5601982F" w14:textId="131452F9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7AA9ADD2" w14:textId="77777777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5A7E4713" w14:textId="77777777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لاختبارات الشفوية التقارير</w:t>
            </w:r>
          </w:p>
          <w:p w14:paraId="163824DC" w14:textId="3979926C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2A6226" w:rsidRPr="005D2DDD" w14:paraId="460547E2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DDB7F41" w14:textId="1C46EA17" w:rsidR="002A6226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08AD9FDB" w14:textId="33C10C74" w:rsidR="002A6226" w:rsidRPr="00D923D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يذكر </w:t>
            </w:r>
            <w:r w:rsidRPr="00262CF5">
              <w:rPr>
                <w:rFonts w:ascii="Sakkal Majalla" w:hAnsi="Sakkal Majalla" w:cs="Sakkal Majalla" w:hint="cs"/>
                <w:sz w:val="32"/>
                <w:szCs w:val="32"/>
                <w:rtl/>
              </w:rPr>
              <w:t>أبرز القضايا التي ناقشها الكتاب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7DA53BA" w14:textId="6B19923B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5DCABEC4" w14:textId="4F0BE1C9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A6226" w:rsidRPr="005D2DDD" w14:paraId="0F021FF8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1C2700" w14:textId="5559AC74" w:rsidR="002A6226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0910E8D2" w14:textId="100797FC" w:rsidR="002A6226" w:rsidRPr="00D923D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أثر الكتاب في كتابات اللاحقين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C06E25" w14:textId="15E1BBB5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394E6193" w14:textId="0FEAC082" w:rsidR="002A6226" w:rsidRPr="00CF07FB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98ACB6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7226BD5F" w:rsidR="002A6226" w:rsidRPr="005D2DDD" w:rsidRDefault="002A6226" w:rsidP="002A62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2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أن يكون الطالب قادرا على أن</w:t>
            </w:r>
          </w:p>
        </w:tc>
      </w:tr>
      <w:tr w:rsidR="002A6226" w:rsidRPr="005D2DDD" w14:paraId="261DBD31" w14:textId="77777777" w:rsidTr="002A622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511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5D7545DB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الكتاب تحليلا في الشكل والمضمون</w:t>
            </w:r>
          </w:p>
        </w:tc>
        <w:tc>
          <w:tcPr>
            <w:tcW w:w="292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B15331" w14:textId="12581B6B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المشاريع البحثية</w:t>
            </w:r>
          </w:p>
          <w:p w14:paraId="2AD14F33" w14:textId="77777777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حل المشكلات البحثية</w:t>
            </w:r>
          </w:p>
          <w:p w14:paraId="789691D4" w14:textId="3AD82D8C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B4602E" w14:textId="77777777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1DAB9D4" w14:textId="77777777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436573F1" w14:textId="3F17A9E5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2A6226" w:rsidRPr="005D2DDD" w14:paraId="444A7914" w14:textId="77777777" w:rsidTr="002A622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357A9FCD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قرارات متخصصة في بعض موضوعات الكتاب</w:t>
            </w:r>
          </w:p>
        </w:tc>
        <w:tc>
          <w:tcPr>
            <w:tcW w:w="29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03006" w14:textId="20A75F00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638F2274" w14:textId="77777777" w:rsidR="002A6226" w:rsidRPr="00EB0890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3927104F" w14:textId="0529B8E6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EB0890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0DD24" w14:textId="77777777" w:rsidR="002A6226" w:rsidRPr="00F44A56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0307256" w14:textId="77777777" w:rsidR="002A6226" w:rsidRPr="00F44A56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6D9F3949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2A6226" w:rsidRPr="005D2DDD" w14:paraId="4EB9BDC1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1548C680" w:rsidR="002A6226" w:rsidRPr="00E7524C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مرجعيات الكتاب القديم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5FA397C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4659848D" w14:textId="5B7C204A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98E61" w14:textId="5B202E2A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لتقارير</w:t>
            </w:r>
          </w:p>
          <w:p w14:paraId="2EE7FD93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12D74AFD" w:rsidR="002A6226" w:rsidRPr="00E7524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2A6226" w:rsidRPr="005D2DDD" w14:paraId="19621152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D48439F" w14:textId="196141E0" w:rsidR="002A6226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7856FE4E" w14:textId="23F3CBEF" w:rsidR="002A6226" w:rsidRPr="00CF07FB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يوازن بين آراء العلماء والنقاد في الكتاب القديم ويقدم نقدًا لها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C93691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3C66E47B" w14:textId="423F0196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2CB814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لتقارير</w:t>
            </w:r>
          </w:p>
          <w:p w14:paraId="7C9E9B5F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52581D1F" w14:textId="6BBB8FFC" w:rsidR="002A6226" w:rsidRPr="00F44A56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2A6226" w:rsidRPr="005D2DDD" w14:paraId="10C6C607" w14:textId="77777777" w:rsidTr="002A622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2DE057" w14:textId="2A1652F5" w:rsidR="002A6226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2.5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8" w:space="0" w:color="auto"/>
            </w:tcBorders>
          </w:tcPr>
          <w:p w14:paraId="33041D75" w14:textId="5AE34279" w:rsidR="002A6226" w:rsidRPr="00CF07FB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يكتب بحثا متخصصا في جزئية مختارة في الكتاب أو في موضوع من موضوعاته أو في منهجيته أو أثره في كتابات اللاحقين أو في الدرس اللغوي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8F95C9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  <w:p w14:paraId="3FEADFA8" w14:textId="4071EE6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D1658">
              <w:rPr>
                <w:rFonts w:ascii="Sakkal Majalla" w:hAnsi="Sakkal Majalla" w:cs="Sakkal Majalla"/>
                <w:sz w:val="28"/>
                <w:szCs w:val="28"/>
                <w:rtl/>
              </w:rPr>
              <w:t>العروض التقديمية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D3A99A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لتقارير</w:t>
            </w:r>
          </w:p>
          <w:p w14:paraId="6C1E5E05" w14:textId="77777777" w:rsidR="002A6226" w:rsidRPr="002D1658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3092F4D1" w14:textId="6409E75E" w:rsidR="002A6226" w:rsidRPr="00F44A56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D165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CDED57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4C63C586" w:rsidR="002A6226" w:rsidRPr="002A6226" w:rsidRDefault="002A6226" w:rsidP="002A62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62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أن يكون الطالب قادرا على أن</w:t>
            </w:r>
          </w:p>
        </w:tc>
      </w:tr>
      <w:tr w:rsidR="002A6226" w:rsidRPr="005D2DDD" w14:paraId="5F9C3993" w14:textId="77777777" w:rsidTr="002A622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511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1ED9F2AA" w:rsidR="002A6226" w:rsidRPr="00D923D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عندما يدير حوار لغوية في الكتاب القديم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2923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2A6226" w:rsidRPr="00266057" w:rsidRDefault="002A6226" w:rsidP="002A6226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2A6226" w:rsidRPr="00266057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2A6226" w:rsidRPr="005D2DDD" w14:paraId="5ADBA4C2" w14:textId="77777777" w:rsidTr="002A622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519088C9" w:rsidR="002A6226" w:rsidRPr="00D923D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</w:t>
            </w:r>
            <w:proofErr w:type="gramStart"/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بحثية</w:t>
            </w:r>
            <w:r>
              <w:rPr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أو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تلخيصا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29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2A6226" w:rsidRDefault="002A6226" w:rsidP="002A6226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2A6226" w:rsidRPr="00266057" w:rsidRDefault="002A6226" w:rsidP="002A6226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2A6226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2A6226" w:rsidRPr="005D2DDD" w14:paraId="32E96006" w14:textId="77777777" w:rsidTr="002A6226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2A6226" w:rsidRPr="00DE07AD" w:rsidRDefault="002A6226" w:rsidP="002A62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511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14E3A269" w:rsidR="002A6226" w:rsidRPr="00D923DC" w:rsidRDefault="002A6226" w:rsidP="002A62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التي يتناولها الكتاب القديم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2A6226" w:rsidRPr="00266057" w:rsidRDefault="002A6226" w:rsidP="002A6226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2A6226" w:rsidRPr="00266057" w:rsidRDefault="002A6226" w:rsidP="002A622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729B8CDA" w:rsidR="00390016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262CF5" w14:paraId="0104713E" w14:textId="77777777" w:rsidTr="00262CF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DAF314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AC2D72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582675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C8519D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EFB84C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547E014B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960A5" w14:paraId="70BA2524" w14:textId="77777777" w:rsidTr="00262CF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2790695" w14:textId="77777777" w:rsidR="00D960A5" w:rsidRDefault="00D960A5" w:rsidP="00D960A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7FE384E" w14:textId="5D967376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bookmarkStart w:id="29" w:name="_GoBack"/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مناقشة بحث 1</w:t>
            </w:r>
            <w:bookmarkEnd w:id="29"/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EC2D3D4" w14:textId="5B81A161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الثالث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34532C9" w14:textId="2FA6F8F5" w:rsidR="00D960A5" w:rsidRDefault="00D960A5" w:rsidP="00D960A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Pr="00D960A5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D960A5" w14:paraId="1C46F81F" w14:textId="77777777" w:rsidTr="00262CF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02FCF9D" w14:textId="77777777" w:rsidR="00D960A5" w:rsidRDefault="00D960A5" w:rsidP="00D960A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53C857D" w14:textId="0CB9CF6C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مناقشة بحث 2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6DD9E2E0" w14:textId="5CC5E352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السادس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AE19CBD" w14:textId="7C54D9D0" w:rsidR="00D960A5" w:rsidRDefault="00D960A5" w:rsidP="00D960A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 w:hint="cs"/>
                <w:sz w:val="32"/>
                <w:szCs w:val="32"/>
                <w:rtl/>
              </w:rPr>
              <w:t>20</w:t>
            </w:r>
            <w:r w:rsidRPr="00D960A5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D960A5" w14:paraId="1182AE07" w14:textId="77777777" w:rsidTr="00262CF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9A98198" w14:textId="77777777" w:rsidR="00D960A5" w:rsidRDefault="00D960A5" w:rsidP="00D960A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6DD973C" w14:textId="2EF0190B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مناقشة بحث 3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DFFABAC" w14:textId="5738AA76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التاسع</w:t>
            </w:r>
            <w:r w:rsidRPr="00D960A5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46994E9" w14:textId="25016CD5" w:rsidR="00D960A5" w:rsidRDefault="00D960A5" w:rsidP="00D960A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  <w:r w:rsidRPr="00D960A5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D960A5" w14:paraId="5FD84FED" w14:textId="77777777" w:rsidTr="00262CF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5D5AEDED" w14:textId="77777777" w:rsidR="00D960A5" w:rsidRDefault="00D960A5" w:rsidP="00D960A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4667D76" w14:textId="4B9F137A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مناقشة بحث 4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6AE7BB9B" w14:textId="12135ECD" w:rsidR="00D960A5" w:rsidRDefault="00D960A5" w:rsidP="00D960A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الثاني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7151BCC" w14:textId="0F539C56" w:rsidR="00D960A5" w:rsidRDefault="00D960A5" w:rsidP="00D960A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D960A5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D960A5">
              <w:rPr>
                <w:rFonts w:ascii="Sakkal Majalla" w:hAnsi="Sakkal Majalla" w:cs="Sakkal Majalla"/>
                <w:sz w:val="32"/>
                <w:szCs w:val="32"/>
                <w:rtl/>
              </w:rPr>
              <w:t>0</w:t>
            </w:r>
            <w:r w:rsidRPr="00D960A5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262CF5" w14:paraId="57D829C6" w14:textId="77777777" w:rsidTr="00262CF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7F29BE" w14:textId="77777777" w:rsidR="00262CF5" w:rsidRDefault="00262CF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11710E0E" w14:textId="77777777" w:rsidR="00262CF5" w:rsidRDefault="00262CF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934F31F" w14:textId="77777777" w:rsidR="00262CF5" w:rsidRDefault="00262CF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3F5FC367" w14:textId="77777777" w:rsidR="00262CF5" w:rsidRDefault="00262CF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p w14:paraId="273E1D89" w14:textId="1AC7653A" w:rsidR="00390016" w:rsidRPr="00262CF5" w:rsidRDefault="00390016" w:rsidP="00262CF5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36DE4B1B" w14:textId="797E7A90" w:rsidR="00390016" w:rsidRPr="000E0075" w:rsidRDefault="002876CD" w:rsidP="00502970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876C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تحديد الساعات المكتبية لكل أستاذ </w:t>
            </w:r>
            <w:r w:rsidR="00B31207" w:rsidRPr="002876C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وإعلانها</w:t>
            </w:r>
            <w:r w:rsidRPr="002876C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للطلاب</w:t>
            </w:r>
            <w:r w:rsidR="00502970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lastRenderedPageBreak/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44EE680C" w14:textId="379AF6FB" w:rsidR="00B31207" w:rsidRP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الكتاب: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سيبويه</w:t>
            </w:r>
          </w:p>
          <w:p w14:paraId="708C2B1D" w14:textId="47FD66B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الممتع في التصريف: ابن عصفور</w:t>
            </w:r>
          </w:p>
          <w:p w14:paraId="5F5A4C00" w14:textId="4229BDC6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الخصائص: ابن جني</w:t>
            </w:r>
          </w:p>
          <w:p w14:paraId="5662348A" w14:textId="267FAD1F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سر صناعة الإعراب: ابن جني</w:t>
            </w:r>
          </w:p>
          <w:p w14:paraId="3C751DE7" w14:textId="7777777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لسان العرب: ابن منظور</w:t>
            </w:r>
          </w:p>
          <w:p w14:paraId="025C83A2" w14:textId="2B9BE8BF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مقاييس اللغة: ابن فارس</w:t>
            </w:r>
          </w:p>
          <w:p w14:paraId="3B936D7A" w14:textId="5E6148DF" w:rsidR="00B31207" w:rsidRP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فقه اللغة: للثعالبي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7FCD2B" w14:textId="7777777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المقتضب: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المبرد</w:t>
            </w:r>
          </w:p>
          <w:p w14:paraId="7EC841F2" w14:textId="7777777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الكافية في النحو: ابن الحاجب</w:t>
            </w:r>
          </w:p>
          <w:p w14:paraId="70DF8CE7" w14:textId="7777777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شرح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الاستراباذي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الاستراباذي</w:t>
            </w:r>
            <w:proofErr w:type="spellEnd"/>
          </w:p>
          <w:p w14:paraId="4B2D6F55" w14:textId="77777777" w:rsidR="00B31207" w:rsidRP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شرح المفصل: ابن يعيش</w:t>
            </w:r>
          </w:p>
          <w:p w14:paraId="2914DBA2" w14:textId="045F22E7" w:rsid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الأصول في </w:t>
            </w: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النحو: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ابن السراج</w:t>
            </w:r>
          </w:p>
          <w:p w14:paraId="7273DF80" w14:textId="203AA1D5" w:rsidR="00B31207" w:rsidRPr="00B31207" w:rsidRDefault="00B31207" w:rsidP="00B31207">
            <w:pPr>
              <w:pStyle w:val="af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>سرار العربية</w:t>
            </w: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B3120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31207">
              <w:rPr>
                <w:rFonts w:ascii="Sakkal Majalla" w:hAnsi="Sakkal Majalla" w:cs="Sakkal Majalla"/>
                <w:sz w:val="32"/>
                <w:szCs w:val="32"/>
                <w:rtl/>
              </w:rPr>
              <w:t>ابن الانباري</w:t>
            </w:r>
          </w:p>
          <w:p w14:paraId="4FE1167A" w14:textId="07DF453C" w:rsidR="00390016" w:rsidRPr="002876CD" w:rsidRDefault="00390016" w:rsidP="002876CD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DFB86B0" w14:textId="51459E39" w:rsidR="002876CD" w:rsidRPr="002876CD" w:rsidRDefault="00502970" w:rsidP="002876CD">
            <w:pPr>
              <w:bidi/>
              <w:rPr>
                <w:rFonts w:asciiTheme="majorBidi" w:hAnsiTheme="majorBidi"/>
                <w:rtl/>
              </w:rPr>
            </w:pPr>
            <w:r w:rsidRPr="00502970">
              <w:rPr>
                <w:rFonts w:asciiTheme="majorBidi" w:hAnsiTheme="majorBidi"/>
                <w:rtl/>
              </w:rPr>
              <w:tab/>
            </w:r>
            <w:r w:rsidR="002876CD" w:rsidRPr="002876CD">
              <w:rPr>
                <w:rFonts w:asciiTheme="majorBidi" w:hAnsiTheme="majorBidi"/>
                <w:rtl/>
              </w:rPr>
              <w:t>شبكة الفصيح لعلوم اللغة العربية</w:t>
            </w:r>
            <w:r w:rsidR="002876CD" w:rsidRPr="002876CD">
              <w:rPr>
                <w:rFonts w:asciiTheme="majorBidi" w:hAnsiTheme="majorBidi"/>
              </w:rPr>
              <w:t xml:space="preserve">   .</w:t>
            </w:r>
          </w:p>
          <w:p w14:paraId="4600C40E" w14:textId="256AD951" w:rsidR="00390016" w:rsidRPr="00502970" w:rsidRDefault="002876CD" w:rsidP="002876CD">
            <w:pPr>
              <w:bidi/>
              <w:rPr>
                <w:rFonts w:asciiTheme="majorBidi" w:hAnsiTheme="majorBidi" w:cstheme="majorBidi"/>
              </w:rPr>
            </w:pPr>
            <w:r w:rsidRPr="002876CD">
              <w:rPr>
                <w:rFonts w:asciiTheme="majorBidi" w:hAnsiTheme="majorBidi"/>
                <w:rtl/>
              </w:rPr>
              <w:t>•</w:t>
            </w:r>
            <w:r w:rsidRPr="002876CD">
              <w:rPr>
                <w:rFonts w:asciiTheme="majorBidi" w:hAnsiTheme="majorBidi"/>
                <w:rtl/>
              </w:rPr>
              <w:tab/>
              <w:t>المكتبة التراثية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6D6E5814" w:rsidR="00390016" w:rsidRPr="00E115D6" w:rsidRDefault="00502970" w:rsidP="000E007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876CD" w:rsidRPr="002876CD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 – الموسوعة العالمية – موسوعة اللسانيات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502970" w:rsidRPr="005D2DDD" w14:paraId="4EFC0764" w14:textId="77777777" w:rsidTr="002A6226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502970" w:rsidRPr="005D2DDD" w:rsidRDefault="00502970" w:rsidP="0050297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502970" w:rsidRPr="005D2DDD" w:rsidRDefault="00502970" w:rsidP="005029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118BF518" w:rsidR="00502970" w:rsidRPr="000E0075" w:rsidRDefault="002876CD" w:rsidP="0050297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876C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قاعات للمطالعة </w:t>
            </w:r>
            <w:r w:rsidRPr="002876C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والحوار</w:t>
            </w:r>
          </w:p>
        </w:tc>
      </w:tr>
      <w:tr w:rsidR="00502970" w:rsidRPr="005D2DDD" w14:paraId="40D9BF19" w14:textId="77777777" w:rsidTr="002A622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502970" w:rsidRPr="005D2DDD" w:rsidRDefault="00502970" w:rsidP="0050297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502970" w:rsidRPr="005D2DDD" w:rsidRDefault="00502970" w:rsidP="005029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64BB3AFB" w:rsidR="00502970" w:rsidRPr="000E0075" w:rsidRDefault="002876CD" w:rsidP="00502970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876CD">
              <w:rPr>
                <w:rFonts w:ascii="Sakkal Majalla" w:hAnsi="Sakkal Majalla" w:cs="Sakkal Majalla"/>
                <w:sz w:val="32"/>
                <w:szCs w:val="32"/>
                <w:rtl/>
              </w:rPr>
              <w:t>معمل حاسب آلي</w:t>
            </w:r>
          </w:p>
        </w:tc>
      </w:tr>
      <w:tr w:rsidR="00502970" w:rsidRPr="005D2DDD" w14:paraId="33982DA5" w14:textId="77777777" w:rsidTr="002A622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502970" w:rsidRPr="00C36A18" w:rsidRDefault="00502970" w:rsidP="0050297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443124A0" w:rsidR="00502970" w:rsidRPr="000E0075" w:rsidRDefault="002876CD" w:rsidP="0050297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-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D884" w14:textId="77777777" w:rsidR="007602B4" w:rsidRDefault="007602B4">
      <w:r>
        <w:separator/>
      </w:r>
    </w:p>
  </w:endnote>
  <w:endnote w:type="continuationSeparator" w:id="0">
    <w:p w14:paraId="44761AA0" w14:textId="77777777" w:rsidR="007602B4" w:rsidRDefault="0076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2A6226" w:rsidRDefault="002A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2A6226" w:rsidRDefault="002A62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2A6226" w:rsidRDefault="002A6226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2A6226" w:rsidRPr="00705C7E" w:rsidRDefault="002A6226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2A6226" w:rsidRPr="00705C7E" w:rsidRDefault="002A6226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910B" w14:textId="77777777" w:rsidR="007602B4" w:rsidRDefault="007602B4">
      <w:r>
        <w:separator/>
      </w:r>
    </w:p>
  </w:footnote>
  <w:footnote w:type="continuationSeparator" w:id="0">
    <w:p w14:paraId="5E3033B4" w14:textId="77777777" w:rsidR="007602B4" w:rsidRDefault="0076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2A6226" w:rsidRDefault="002A6226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155"/>
    <w:multiLevelType w:val="hybridMultilevel"/>
    <w:tmpl w:val="B042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29C4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5ABE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2CF5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6AF4"/>
    <w:rsid w:val="002876CD"/>
    <w:rsid w:val="00290CF6"/>
    <w:rsid w:val="00291B93"/>
    <w:rsid w:val="00291BF1"/>
    <w:rsid w:val="0029258E"/>
    <w:rsid w:val="00292AE4"/>
    <w:rsid w:val="002942A8"/>
    <w:rsid w:val="002955C4"/>
    <w:rsid w:val="00296095"/>
    <w:rsid w:val="002967DD"/>
    <w:rsid w:val="002A085A"/>
    <w:rsid w:val="002A56AC"/>
    <w:rsid w:val="002A6226"/>
    <w:rsid w:val="002A7406"/>
    <w:rsid w:val="002A7F15"/>
    <w:rsid w:val="002B07FF"/>
    <w:rsid w:val="002B6E8B"/>
    <w:rsid w:val="002C03FF"/>
    <w:rsid w:val="002C081C"/>
    <w:rsid w:val="002C1731"/>
    <w:rsid w:val="002C399B"/>
    <w:rsid w:val="002D1658"/>
    <w:rsid w:val="002D1DA4"/>
    <w:rsid w:val="002D2019"/>
    <w:rsid w:val="002D20E2"/>
    <w:rsid w:val="002D2AAD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1E2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5B0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15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2970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28C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D78C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6957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065C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04A6"/>
    <w:rsid w:val="0070285A"/>
    <w:rsid w:val="00703B6F"/>
    <w:rsid w:val="00705DB8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2B4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66AA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CAE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2513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207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07FB"/>
    <w:rsid w:val="00CF2676"/>
    <w:rsid w:val="00CF6E78"/>
    <w:rsid w:val="00D01E1B"/>
    <w:rsid w:val="00D0288A"/>
    <w:rsid w:val="00D02B12"/>
    <w:rsid w:val="00D03EC4"/>
    <w:rsid w:val="00D05DE0"/>
    <w:rsid w:val="00D07508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0D2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0A5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0890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4576A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CBC78-2D85-4353-8B1D-0CBDA9A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8524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47</cp:revision>
  <cp:lastPrinted>2020-05-07T13:53:00Z</cp:lastPrinted>
  <dcterms:created xsi:type="dcterms:W3CDTF">2018-12-30T10:22:00Z</dcterms:created>
  <dcterms:modified xsi:type="dcterms:W3CDTF">2021-08-04T09:22:00Z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